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《成都中医药大学科技处关于更新国际期刊论文预警名单的通知》附件</w:t>
      </w:r>
    </w:p>
    <w:p/>
    <w:p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4"/>
        <w:gridCol w:w="4133"/>
        <w:gridCol w:w="1603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学科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刊名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期刊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ISSN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预警等级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工程技术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Complexity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1076-2787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Shock and Vibration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1070-9622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Advances in Civil Engineering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1687-8086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Biomedicines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2227-9059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计算机科学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Microprocessors and Microsystems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0141-9331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Scientific Programming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1058-9244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生物学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BioFactors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0951-6433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Mitochondrial DNA Part B-Resources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2380-2359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Frontiers in Molecular Biosciences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2296-889X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Frontiers in Cell and Developmental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Biology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2296-634X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Life-Basel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2075-1729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Biology-Basel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2079-7737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数学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Discrete Dynamics in Nature and Society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1026-0226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AlMS Mathematics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2473-6988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Journal of Mathematics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2314-4629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医学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Pharmazie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0031-7144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Molecular Therapy-Nucleic Acids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2162-2531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Experimental and Molecular Pathology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0014-4800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Journal of Cellular and Molecular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Medicine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1582-4934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Molecular Medicine Reports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1791-2997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Journal of International Medical Research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0300-0605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Journal of Cancer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1837-9664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Medical Science Monitor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1234-1010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4"/>
        <w:gridCol w:w="4133"/>
        <w:gridCol w:w="1603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Aging-US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1945-4589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OncoTargets and Therapy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1178-6930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Cancer Management and Research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1179-1322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Cancer Cell International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1475-2867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World Journal of Clinical Cases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2307-8960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Annals of Palliative Medicine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2224-5820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International Journal of General Medicine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1178-7074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Frontiers in Medicine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2296-858X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Journal of Personalized Medicine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2075-4426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Healthcare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2213-0772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Diagnostics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2075-4418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Vaccines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2076-393X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低</w:t>
            </w:r>
          </w:p>
        </w:tc>
      </w:tr>
    </w:tbl>
    <w:p>
      <w:pPr>
        <w:widowControl w:val="0"/>
        <w:spacing w:after="7499" w:line="1" w:lineRule="exact"/>
      </w:pP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1600" w:right="1311" w:bottom="1936" w:left="118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9527540</wp:posOffset>
              </wp:positionV>
              <wp:extent cx="612775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53.1pt;margin-top:750.2pt;height:9.6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Owk89gA&#10;AAAOAQAADwAAAAAAAAABACAAAAAiAAAAZHJzL2Rvd25yZXYueG1sUEsBAhQAFAAAAAgAh07iQPuX&#10;hKa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3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9858375</wp:posOffset>
              </wp:positionV>
              <wp:extent cx="612775" cy="12192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87.1pt;margin-top:776.25pt;height:9.6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y8ZH9cA&#10;AAANAQAADwAAAAAAAAABACAAAAAiAAAAZHJzL2Rvd25yZXYueG1sUEsBAhQAFAAAAAgAh07iQGT/&#10;DfK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Q2NzBlOGFiZTIwYWQxYmQzYTViZDRkYThmMWZjMGUifQ=="/>
  </w:docVars>
  <w:rsids>
    <w:rsidRoot w:val="00000000"/>
    <w:rsid w:val="43204C5C"/>
    <w:rsid w:val="64857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E8725E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80"/>
      <w:outlineLvl w:val="0"/>
    </w:pPr>
    <w:rPr>
      <w:rFonts w:ascii="宋体" w:hAnsi="宋体" w:eastAsia="宋体" w:cs="宋体"/>
      <w:color w:val="E8725E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color w:val="717173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560" w:line="410" w:lineRule="auto"/>
      <w:ind w:firstLine="400"/>
    </w:pPr>
    <w:rPr>
      <w:rFonts w:ascii="宋体" w:hAnsi="宋体" w:eastAsia="宋体" w:cs="宋体"/>
      <w:color w:val="717173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20" w:line="523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u w:val="none"/>
      <w:shd w:val="clear" w:color="auto" w:fill="auto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  <w:jc w:val="center"/>
    </w:pPr>
    <w:rPr>
      <w:u w:val="none"/>
      <w:shd w:val="clear" w:color="auto" w:fill="auto"/>
    </w:rPr>
  </w:style>
  <w:style w:type="character" w:customStyle="1" w:styleId="13">
    <w:name w:val="Header or footer|2_"/>
    <w:basedOn w:val="4"/>
    <w:link w:val="14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5">
    <w:name w:val="Heading #3|1_"/>
    <w:basedOn w:val="4"/>
    <w:link w:val="16"/>
    <w:qFormat/>
    <w:uiPriority w:val="0"/>
    <w:rPr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ind w:left="6420"/>
      <w:outlineLvl w:val="2"/>
    </w:pPr>
    <w:rPr>
      <w:sz w:val="28"/>
      <w:szCs w:val="28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507</Words>
  <Characters>1471</Characters>
  <TotalTime>1</TotalTime>
  <ScaleCrop>false</ScaleCrop>
  <LinksUpToDate>false</LinksUpToDate>
  <CharactersWithSpaces>1548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2022-11-28T08:21:00Z</dcterms:created>
  <dc:creator>Dell</dc:creator>
  <cp:lastModifiedBy>邱小呆</cp:lastModifiedBy>
  <dcterms:modified xsi:type="dcterms:W3CDTF">2022-11-28T08:31:18Z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0D591ECDD0354B228A88BBC843C6E841</vt:lpwstr>
  </property>
</Properties>
</file>