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eastAsia="方正大标宋简体"/>
          <w:color w:val="FF0000"/>
          <w:spacing w:val="10"/>
          <w:w w:val="66"/>
          <w:sz w:val="82"/>
          <w:szCs w:val="66"/>
        </w:rPr>
      </w:pPr>
      <w:r>
        <w:rPr>
          <w:rFonts w:hint="eastAsia" w:eastAsia="方正大标宋简体"/>
          <w:color w:val="FF0000"/>
          <w:spacing w:val="10"/>
          <w:w w:val="66"/>
          <w:sz w:val="82"/>
          <w:szCs w:val="66"/>
          <w:lang w:eastAsia="zh-CN"/>
        </w:rPr>
        <w:t>成都中医药</w:t>
      </w:r>
      <w:r>
        <w:rPr>
          <w:rFonts w:hint="eastAsia" w:eastAsia="方正大标宋简体"/>
          <w:color w:val="FF0000"/>
          <w:spacing w:val="10"/>
          <w:w w:val="66"/>
          <w:sz w:val="82"/>
          <w:szCs w:val="66"/>
        </w:rPr>
        <w:t>大学研究生院</w:t>
      </w:r>
    </w:p>
    <w:p>
      <w:pPr>
        <w:jc w:val="center"/>
        <w:rPr>
          <w:rFonts w:ascii="方正大标宋简体" w:hAnsi="Calibri" w:eastAsia="方正大标宋简体" w:cs="Times New Roman"/>
          <w:color w:val="000000" w:themeColor="text1"/>
          <w:sz w:val="36"/>
          <w:szCs w:val="36"/>
          <w14:textFill>
            <w14:solidFill>
              <w14:schemeClr w14:val="tx1"/>
            </w14:solidFill>
          </w14:textFill>
        </w:rPr>
      </w:pPr>
      <w:r>
        <w:rPr>
          <w:rFonts w:eastAsia="方正大标宋简体"/>
          <w:spacing w:val="30"/>
          <w:sz w:val="20"/>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83820</wp:posOffset>
                </wp:positionV>
                <wp:extent cx="5904230" cy="0"/>
                <wp:effectExtent l="0" t="19050" r="2095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04000"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2.25pt;margin-top:6.6pt;height:0pt;width:464.9pt;z-index:251659264;mso-width-relative:page;mso-height-relative:page;" filled="f" stroked="t" coordsize="21600,21600" o:gfxdata="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B5WwdYAAAAI&#10;AQAADwAAAAAAAAABACAAAAAiAAAAZHJzL2Rvd25yZXYueG1sUEsBAhQAFAAAAAgAh07iQLjJuy7l&#10;AQAAqwMAAA4AAAAAAAAAAQAgAAAAJQEAAGRycy9lMm9Eb2MueG1sUEsFBgAAAAAGAAYAWQEAAHwF&#10;AAAAAA==&#10;">
                <v:fill on="f" focussize="0,0"/>
                <v:stroke weight="2.25pt" color="#FF0000" joinstyle="round"/>
                <v:imagedata o:title=""/>
                <o:lock v:ext="edit" aspectratio="f"/>
              </v:line>
            </w:pict>
          </mc:Fallback>
        </mc:AlternateContent>
      </w:r>
    </w:p>
    <w:p>
      <w:pPr>
        <w:spacing w:before="156" w:beforeLines="50" w:after="156" w:afterLines="50"/>
        <w:jc w:val="center"/>
        <w:rPr>
          <w:rFonts w:ascii="方正大标宋简体" w:hAnsi="Calibri" w:eastAsia="方正大标宋简体" w:cs="Times New Roman"/>
          <w:color w:val="000000" w:themeColor="text1"/>
          <w:sz w:val="36"/>
          <w:szCs w:val="36"/>
          <w14:textFill>
            <w14:solidFill>
              <w14:schemeClr w14:val="tx1"/>
            </w14:solidFill>
          </w14:textFill>
        </w:rPr>
      </w:pPr>
      <w:r>
        <w:rPr>
          <w:rFonts w:hint="eastAsia" w:ascii="方正大标宋简体" w:hAnsi="Calibri" w:eastAsia="方正大标宋简体" w:cs="Times New Roman"/>
          <w:color w:val="000000" w:themeColor="text1"/>
          <w:sz w:val="36"/>
          <w:szCs w:val="36"/>
          <w14:textFill>
            <w14:solidFill>
              <w14:schemeClr w14:val="tx1"/>
            </w14:solidFill>
          </w14:textFill>
        </w:rPr>
        <w:t>研究生</w:t>
      </w:r>
      <w:r>
        <w:rPr>
          <w:rFonts w:hint="eastAsia" w:ascii="方正大标宋简体" w:hAnsi="Calibri" w:eastAsia="方正大标宋简体" w:cs="Times New Roman"/>
          <w:color w:val="000000" w:themeColor="text1"/>
          <w:sz w:val="36"/>
          <w:szCs w:val="36"/>
          <w:lang w:eastAsia="zh-CN"/>
          <w14:textFill>
            <w14:solidFill>
              <w14:schemeClr w14:val="tx1"/>
            </w14:solidFill>
          </w14:textFill>
        </w:rPr>
        <w:t>教育教学改革项目</w:t>
      </w:r>
      <w:r>
        <w:rPr>
          <w:rFonts w:hint="eastAsia" w:ascii="方正大标宋简体" w:hAnsi="Calibri" w:eastAsia="方正大标宋简体" w:cs="Times New Roman"/>
          <w:color w:val="000000" w:themeColor="text1"/>
          <w:sz w:val="36"/>
          <w:szCs w:val="36"/>
          <w14:textFill>
            <w14:solidFill>
              <w14:schemeClr w14:val="tx1"/>
            </w14:solidFill>
          </w14:textFill>
        </w:rPr>
        <w:t>管理办法</w:t>
      </w:r>
    </w:p>
    <w:p>
      <w:pPr>
        <w:spacing w:before="312" w:beforeLines="100"/>
        <w:jc w:val="center"/>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第一章  总 则</w:t>
      </w:r>
    </w:p>
    <w:p>
      <w:pPr>
        <w:spacing w:line="520" w:lineRule="exact"/>
        <w:ind w:firstLine="602" w:firstLineChars="200"/>
        <w:rPr>
          <w:rFonts w:ascii="仿宋_GB2312" w:hAnsi="Calibri" w:eastAsia="仿宋_GB2312" w:cs="Times New Roman"/>
          <w:color w:val="000000" w:themeColor="text1"/>
          <w:sz w:val="30"/>
          <w:szCs w:val="30"/>
          <w14:textFill>
            <w14:solidFill>
              <w14:schemeClr w14:val="tx1"/>
            </w14:solidFill>
          </w14:textFill>
        </w:rPr>
      </w:pPr>
      <w:r>
        <w:rPr>
          <w:rFonts w:hint="eastAsia" w:ascii="仿宋_GB2312" w:hAnsi="Calibri" w:eastAsia="仿宋_GB2312" w:cs="Times New Roman"/>
          <w:b/>
          <w:color w:val="000000" w:themeColor="text1"/>
          <w:sz w:val="30"/>
          <w:szCs w:val="30"/>
          <w14:textFill>
            <w14:solidFill>
              <w14:schemeClr w14:val="tx1"/>
            </w14:solidFill>
          </w14:textFill>
        </w:rPr>
        <w:t>第一条</w:t>
      </w:r>
      <w:r>
        <w:rPr>
          <w:rFonts w:hint="eastAsia" w:ascii="仿宋_GB2312" w:hAnsi="Calibri" w:eastAsia="仿宋_GB2312" w:cs="Times New Roman"/>
          <w:color w:val="000000" w:themeColor="text1"/>
          <w:sz w:val="30"/>
          <w:szCs w:val="30"/>
          <w14:textFill>
            <w14:solidFill>
              <w14:schemeClr w14:val="tx1"/>
            </w14:solidFill>
          </w14:textFill>
        </w:rPr>
        <w:t xml:space="preserve"> </w:t>
      </w:r>
      <w:r>
        <w:rPr>
          <w:rFonts w:ascii="仿宋_GB2312" w:hAnsi="Calibri" w:eastAsia="仿宋_GB2312" w:cs="Times New Roman"/>
          <w:color w:val="000000" w:themeColor="text1"/>
          <w:sz w:val="30"/>
          <w:szCs w:val="30"/>
          <w14:textFill>
            <w14:solidFill>
              <w14:schemeClr w14:val="tx1"/>
            </w14:solidFill>
          </w14:textFill>
        </w:rPr>
        <w:t xml:space="preserve"> </w:t>
      </w:r>
      <w:r>
        <w:rPr>
          <w:rFonts w:hint="eastAsia" w:ascii="仿宋_GB2312" w:hAnsi="Calibri" w:eastAsia="仿宋_GB2312" w:cs="Times New Roman"/>
          <w:color w:val="000000" w:themeColor="text1"/>
          <w:sz w:val="30"/>
          <w:szCs w:val="30"/>
          <w14:textFill>
            <w14:solidFill>
              <w14:schemeClr w14:val="tx1"/>
            </w14:solidFill>
          </w14:textFill>
        </w:rPr>
        <w:t>为加强和完善</w:t>
      </w:r>
      <w:r>
        <w:rPr>
          <w:rFonts w:hint="eastAsia" w:ascii="仿宋_GB2312" w:hAnsi="Calibri" w:eastAsia="仿宋_GB2312" w:cs="Times New Roman"/>
          <w:color w:val="000000" w:themeColor="text1"/>
          <w:sz w:val="30"/>
          <w:szCs w:val="30"/>
          <w:lang w:eastAsia="zh-CN"/>
          <w14:textFill>
            <w14:solidFill>
              <w14:schemeClr w14:val="tx1"/>
            </w14:solidFill>
          </w14:textFill>
        </w:rPr>
        <w:t>成都中医药</w:t>
      </w:r>
      <w:r>
        <w:rPr>
          <w:rFonts w:hint="eastAsia" w:ascii="仿宋_GB2312" w:hAnsi="Calibri" w:eastAsia="仿宋_GB2312" w:cs="Times New Roman"/>
          <w:color w:val="000000" w:themeColor="text1"/>
          <w:sz w:val="30"/>
          <w:szCs w:val="30"/>
          <w14:textFill>
            <w14:solidFill>
              <w14:schemeClr w14:val="tx1"/>
            </w14:solidFill>
          </w14:textFill>
        </w:rPr>
        <w:t>大学研究生</w:t>
      </w:r>
      <w:r>
        <w:rPr>
          <w:rFonts w:hint="eastAsia" w:ascii="仿宋_GB2312" w:hAnsi="Calibri" w:eastAsia="仿宋_GB2312" w:cs="Times New Roman"/>
          <w:color w:val="000000" w:themeColor="text1"/>
          <w:sz w:val="30"/>
          <w:szCs w:val="30"/>
          <w:lang w:eastAsia="zh-CN"/>
          <w14:textFill>
            <w14:solidFill>
              <w14:schemeClr w14:val="tx1"/>
            </w14:solidFill>
          </w14:textFill>
        </w:rPr>
        <w:t>教育教学改革</w:t>
      </w:r>
      <w:r>
        <w:rPr>
          <w:rFonts w:hint="eastAsia" w:ascii="仿宋_GB2312" w:hAnsi="Calibri" w:eastAsia="仿宋_GB2312" w:cs="Times New Roman"/>
          <w:color w:val="000000" w:themeColor="text1"/>
          <w:sz w:val="30"/>
          <w:szCs w:val="30"/>
          <w14:textFill>
            <w14:solidFill>
              <w14:schemeClr w14:val="tx1"/>
            </w14:solidFill>
          </w14:textFill>
        </w:rPr>
        <w:t>项目的管理，提高项目的研究水平和研究效益，促进学校研究生教育教学的科学研究与改革发展，参照《国家社会科学基金项目管理办法》《全国教育科学规划项目管理办法》的有关规定，结合我校研究生教育科学研究的实际情况，制定本办法。</w:t>
      </w:r>
    </w:p>
    <w:p>
      <w:pPr>
        <w:spacing w:line="520" w:lineRule="exact"/>
        <w:ind w:firstLine="602" w:firstLineChars="200"/>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第二条</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lang w:eastAsia="zh-CN"/>
          <w14:textFill>
            <w14:solidFill>
              <w14:schemeClr w14:val="tx1"/>
            </w14:solidFill>
          </w14:textFill>
        </w:rPr>
        <w:t>成都中医药</w:t>
      </w:r>
      <w:r>
        <w:rPr>
          <w:rFonts w:hint="eastAsia" w:ascii="仿宋_GB2312" w:hAnsi="仿宋_GB2312" w:eastAsia="仿宋_GB2312" w:cs="仿宋_GB2312"/>
          <w:color w:val="000000" w:themeColor="text1"/>
          <w:sz w:val="30"/>
          <w:szCs w:val="30"/>
          <w14:textFill>
            <w14:solidFill>
              <w14:schemeClr w14:val="tx1"/>
            </w14:solidFill>
          </w14:textFill>
        </w:rPr>
        <w:t>大学研究生</w:t>
      </w:r>
      <w:r>
        <w:rPr>
          <w:rFonts w:hint="eastAsia" w:ascii="仿宋_GB2312" w:hAnsi="Calibri" w:eastAsia="仿宋_GB2312" w:cs="Times New Roman"/>
          <w:color w:val="000000" w:themeColor="text1"/>
          <w:sz w:val="30"/>
          <w:szCs w:val="30"/>
          <w:lang w:eastAsia="zh-CN"/>
          <w14:textFill>
            <w14:solidFill>
              <w14:schemeClr w14:val="tx1"/>
            </w14:solidFill>
          </w14:textFill>
        </w:rPr>
        <w:t>教育教学改革</w:t>
      </w:r>
      <w:bookmarkStart w:id="0" w:name="_GoBack"/>
      <w:bookmarkEnd w:id="0"/>
      <w:r>
        <w:rPr>
          <w:rFonts w:hint="eastAsia" w:ascii="仿宋_GB2312" w:hAnsi="仿宋_GB2312" w:eastAsia="仿宋_GB2312" w:cs="仿宋_GB2312"/>
          <w:color w:val="000000" w:themeColor="text1"/>
          <w:sz w:val="30"/>
          <w:szCs w:val="30"/>
          <w14:textFill>
            <w14:solidFill>
              <w14:schemeClr w14:val="tx1"/>
            </w14:solidFill>
          </w14:textFill>
        </w:rPr>
        <w:t>项目，必须坚持以习近平新时代中国特色社会主义思想为指导，全面贯彻党和国家有关高等教育方针政策，主动适应高等教育发展新形势，落实立德树人根本任务，坚持理论联系实际，积极探索，开拓创新，围绕学校研究生教育教学中的重大理论与实践问题组织开展研究，形成一批具有前瞻性、针对性、实践性和可操作性的研究成果，为学校的研究生教育教学改革和发展实践服务，为提高研究生教育质量服务。</w:t>
      </w:r>
    </w:p>
    <w:p>
      <w:pPr>
        <w:spacing w:line="520" w:lineRule="exact"/>
        <w:ind w:firstLine="602" w:firstLineChars="200"/>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第三条</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实行项目制管理，研究生院会同相关部门对项目实施目标管理、过程管理和绩效考核。</w:t>
      </w:r>
    </w:p>
    <w:p>
      <w:pPr>
        <w:spacing w:before="312" w:beforeLines="100"/>
        <w:jc w:val="center"/>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第二章  组织实施</w:t>
      </w:r>
    </w:p>
    <w:p>
      <w:pPr>
        <w:spacing w:line="520" w:lineRule="exact"/>
        <w:ind w:firstLine="602" w:firstLineChars="200"/>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第四条</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研究生院负责项目的组织申报、评审立项、过程管理、考核验收等工作；计划财务处负责项目的经费管理。</w:t>
      </w:r>
    </w:p>
    <w:p>
      <w:pPr>
        <w:spacing w:line="520" w:lineRule="exact"/>
        <w:ind w:firstLine="602"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 xml:space="preserve">第五条 </w:t>
      </w:r>
      <w:r>
        <w:rPr>
          <w:rFonts w:ascii="仿宋_GB2312" w:hAnsi="仿宋_GB2312" w:eastAsia="仿宋_GB2312" w:cs="仿宋_GB2312"/>
          <w:b/>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研究生院根据工作安排适时发布研究生教研教改项目指南。项目申报人应是我校正式教职工，目前直接从事研究生培养相关工作；项目组成员应结构合理，规模适度。</w:t>
      </w:r>
    </w:p>
    <w:p>
      <w:pPr>
        <w:spacing w:line="520" w:lineRule="exact"/>
        <w:ind w:firstLine="602"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第六条</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申报与评审程序</w:t>
      </w:r>
    </w:p>
    <w:p>
      <w:pPr>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1.</w:t>
      </w:r>
      <w:r>
        <w:rPr>
          <w:rFonts w:hint="eastAsia" w:ascii="仿宋_GB2312" w:hAnsi="仿宋_GB2312" w:eastAsia="仿宋_GB2312" w:cs="仿宋_GB2312"/>
          <w:color w:val="000000" w:themeColor="text1"/>
          <w:sz w:val="30"/>
          <w:szCs w:val="30"/>
          <w14:textFill>
            <w14:solidFill>
              <w14:schemeClr w14:val="tx1"/>
            </w14:solidFill>
          </w14:textFill>
        </w:rPr>
        <w:t>项目组按指南的基本要求填报申报书。</w:t>
      </w:r>
    </w:p>
    <w:p>
      <w:pPr>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2.</w:t>
      </w:r>
      <w:r>
        <w:rPr>
          <w:rFonts w:hint="eastAsia" w:ascii="仿宋_GB2312" w:hAnsi="仿宋_GB2312" w:eastAsia="仿宋_GB2312" w:cs="仿宋_GB2312"/>
          <w:color w:val="000000" w:themeColor="text1"/>
          <w:sz w:val="30"/>
          <w:szCs w:val="30"/>
          <w14:textFill>
            <w14:solidFill>
              <w14:schemeClr w14:val="tx1"/>
            </w14:solidFill>
          </w14:textFill>
        </w:rPr>
        <w:t>申报书由项目负责人所在单位审查合格、签署意见后，报研究生院。</w:t>
      </w:r>
    </w:p>
    <w:p>
      <w:pPr>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3.</w:t>
      </w:r>
      <w:r>
        <w:rPr>
          <w:rFonts w:hint="eastAsia" w:ascii="仿宋_GB2312" w:hAnsi="仿宋_GB2312" w:eastAsia="仿宋_GB2312" w:cs="仿宋_GB2312"/>
          <w:color w:val="000000" w:themeColor="text1"/>
          <w:sz w:val="30"/>
          <w:szCs w:val="30"/>
          <w14:textFill>
            <w14:solidFill>
              <w14:schemeClr w14:val="tx1"/>
            </w14:solidFill>
          </w14:textFill>
        </w:rPr>
        <w:t>研究生院组织专家对申报项目进行论证评审，评审结果经公示后确定立项名单。</w:t>
      </w:r>
    </w:p>
    <w:p>
      <w:pPr>
        <w:spacing w:line="520" w:lineRule="exact"/>
        <w:ind w:firstLine="56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第七条</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项目等级分重点项目和一般项目，支持期原则上为2年。</w:t>
      </w:r>
    </w:p>
    <w:p>
      <w:pPr>
        <w:spacing w:line="520" w:lineRule="exact"/>
        <w:ind w:firstLine="602"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第八条</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同一负责人同一时期只能牵头负责1个项目，作为项目组参与人员合计不得申报超过2个项目。研究生院组织立项的项目结题验收结果为不通过的，项目负责人暂停相应类别申报资格2年。</w:t>
      </w:r>
    </w:p>
    <w:p>
      <w:pPr>
        <w:spacing w:line="520" w:lineRule="exact"/>
        <w:ind w:firstLine="602"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第九条</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研究生院负责项目的年度检查和结题验收工作。</w:t>
      </w:r>
    </w:p>
    <w:p>
      <w:pPr>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对于在研项目，项目组应提交项目年度进展情况简表，重点考察项目的进展情况及资金使用情况。</w:t>
      </w:r>
    </w:p>
    <w:p>
      <w:pPr>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项目结题时，项目组应提交结题报告书和核心研究成果。核心研究成果包括但不局限于：在期刊上发表（或录用）以</w:t>
      </w:r>
      <w:r>
        <w:rPr>
          <w:rFonts w:hint="eastAsia" w:ascii="仿宋_GB2312" w:hAnsi="仿宋_GB2312" w:eastAsia="仿宋_GB2312" w:cs="仿宋_GB2312"/>
          <w:color w:val="000000" w:themeColor="text1"/>
          <w:sz w:val="30"/>
          <w:szCs w:val="30"/>
          <w:lang w:eastAsia="zh-CN"/>
          <w14:textFill>
            <w14:solidFill>
              <w14:schemeClr w14:val="tx1"/>
            </w14:solidFill>
          </w14:textFill>
        </w:rPr>
        <w:t>成都中医药</w:t>
      </w:r>
      <w:r>
        <w:rPr>
          <w:rFonts w:hint="eastAsia" w:ascii="仿宋_GB2312" w:hAnsi="仿宋_GB2312" w:eastAsia="仿宋_GB2312" w:cs="仿宋_GB2312"/>
          <w:color w:val="000000" w:themeColor="text1"/>
          <w:sz w:val="30"/>
          <w:szCs w:val="30"/>
          <w14:textFill>
            <w14:solidFill>
              <w14:schemeClr w14:val="tx1"/>
            </w14:solidFill>
          </w14:textFill>
        </w:rPr>
        <w:t>大学为第一作者第一单位、与项目选题直接相关的论文（须标注“</w:t>
      </w:r>
      <w:r>
        <w:rPr>
          <w:rFonts w:hint="eastAsia" w:ascii="仿宋_GB2312" w:hAnsi="仿宋_GB2312" w:eastAsia="仿宋_GB2312" w:cs="仿宋_GB2312"/>
          <w:color w:val="000000" w:themeColor="text1"/>
          <w:sz w:val="30"/>
          <w:szCs w:val="30"/>
          <w:lang w:eastAsia="zh-CN"/>
          <w14:textFill>
            <w14:solidFill>
              <w14:schemeClr w14:val="tx1"/>
            </w14:solidFill>
          </w14:textFill>
        </w:rPr>
        <w:t>成都中医药</w:t>
      </w:r>
      <w:r>
        <w:rPr>
          <w:rFonts w:hint="eastAsia" w:ascii="仿宋_GB2312" w:hAnsi="仿宋_GB2312" w:eastAsia="仿宋_GB2312" w:cs="仿宋_GB2312"/>
          <w:color w:val="000000" w:themeColor="text1"/>
          <w:sz w:val="30"/>
          <w:szCs w:val="30"/>
          <w14:textFill>
            <w14:solidFill>
              <w14:schemeClr w14:val="tx1"/>
            </w14:solidFill>
          </w14:textFill>
        </w:rPr>
        <w:t>大学研究生教研教改项目资助”），制定校级教学管理文件，出版在国内或省内有一定影响、有应用价值的教材、著作，在校级及以上教学会议上作交流报告</w:t>
      </w:r>
      <w:r>
        <w:rPr>
          <w:rFonts w:hint="eastAsia" w:ascii="仿宋_GB2312" w:hAnsi="仿宋_GB2312" w:eastAsia="仿宋_GB2312" w:cs="仿宋_GB2312"/>
          <w:color w:val="000000" w:themeColor="text1"/>
          <w:sz w:val="30"/>
          <w:szCs w:val="30"/>
          <w:lang w:eastAsia="zh-CN"/>
          <w14:textFill>
            <w14:solidFill>
              <w14:schemeClr w14:val="tx1"/>
            </w14:solidFill>
          </w14:textFill>
        </w:rPr>
        <w:t>等</w:t>
      </w:r>
      <w:r>
        <w:rPr>
          <w:rFonts w:hint="eastAsia" w:ascii="仿宋_GB2312" w:hAnsi="仿宋_GB2312" w:eastAsia="仿宋_GB2312" w:cs="仿宋_GB2312"/>
          <w:color w:val="000000" w:themeColor="text1"/>
          <w:sz w:val="30"/>
          <w:szCs w:val="30"/>
          <w14:textFill>
            <w14:solidFill>
              <w14:schemeClr w14:val="tx1"/>
            </w14:solidFill>
          </w14:textFill>
        </w:rPr>
        <w:t>。</w:t>
      </w:r>
    </w:p>
    <w:p>
      <w:pPr>
        <w:spacing w:line="520" w:lineRule="exact"/>
        <w:ind w:firstLine="602"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第十条</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建立项目成果奖惩制度。对于完成情况较好、取得较大进展、有较高显示度成果的项目，将直接给予连续资助或在后期的项目申报中优先予以支持；对项目研究进展缓慢或与预期目标存在较大偏差的项目，相应采取减少或停止支持，并酌情暂停再次申请研究生新教研教改项目的资格。</w:t>
      </w:r>
    </w:p>
    <w:p>
      <w:pPr>
        <w:spacing w:line="520" w:lineRule="exact"/>
        <w:ind w:firstLine="602"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第十一条</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因出国或变动工作岗位等原因需要变更项目负责人的，由项目负责人所在单位签署意见后报研究生院备案。</w:t>
      </w:r>
    </w:p>
    <w:p>
      <w:pPr>
        <w:spacing w:line="520" w:lineRule="exact"/>
        <w:ind w:firstLine="602" w:firstLineChars="200"/>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第十二条</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项目实行科研诚信管理，一经发现申请者、承担者在项目申请、评审、检查、执行、验收等环节发生科研不端行为，将按照学校有关规定执行。</w:t>
      </w:r>
    </w:p>
    <w:p>
      <w:pPr>
        <w:spacing w:line="520" w:lineRule="exact"/>
        <w:ind w:firstLine="602" w:firstLineChars="200"/>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第十三条</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项目建设形成的研究成果按学校相关规定统筹管理。</w:t>
      </w:r>
    </w:p>
    <w:p>
      <w:pPr>
        <w:spacing w:before="312" w:beforeLines="100"/>
        <w:jc w:val="center"/>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第三章  经费管理</w:t>
      </w:r>
    </w:p>
    <w:p>
      <w:pPr>
        <w:spacing w:line="520" w:lineRule="exact"/>
        <w:ind w:firstLine="602" w:firstLineChars="200"/>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第十四条</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研究生院按照年度规划编制项目年度总预算。项目负责人应根据研究内容按照规定的可开支范围合理编制预算并严格执行。如需调整，按学校财务相关规定办理手续。</w:t>
      </w:r>
    </w:p>
    <w:p>
      <w:pPr>
        <w:spacing w:line="520" w:lineRule="exact"/>
        <w:ind w:firstLine="602" w:firstLineChars="200"/>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第十五条</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项目经费使用范围包括：</w:t>
      </w:r>
    </w:p>
    <w:p>
      <w:pPr>
        <w:numPr>
          <w:ilvl w:val="0"/>
          <w:numId w:val="1"/>
        </w:numPr>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办公费。指在研究过程中发生的少量办公费用。</w:t>
      </w:r>
    </w:p>
    <w:p>
      <w:pPr>
        <w:numPr>
          <w:ilvl w:val="0"/>
          <w:numId w:val="1"/>
        </w:numPr>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差旅费。指在项目研究过程中开展考察调研、学术交流等所发生的外埠差旅费用及市内交通费。</w:t>
      </w:r>
    </w:p>
    <w:p>
      <w:pPr>
        <w:numPr>
          <w:ilvl w:val="0"/>
          <w:numId w:val="1"/>
        </w:numPr>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会议费。指在项目研究过程中为组织学术研讨、咨询以及协调等活动而发生的会议费用。</w:t>
      </w:r>
    </w:p>
    <w:p>
      <w:pPr>
        <w:numPr>
          <w:ilvl w:val="0"/>
          <w:numId w:val="1"/>
        </w:numPr>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出版/文献/信息传播/知识产权事务费。指在项目研究过程中发生的论文论著出版、文献资料检索与购置、专用软件购置、专利申请与保护的费用。</w:t>
      </w:r>
    </w:p>
    <w:p>
      <w:pPr>
        <w:numPr>
          <w:ilvl w:val="0"/>
          <w:numId w:val="1"/>
        </w:numPr>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专家咨询费。指在项目研究过程中支付给临时聘请的咨询专家进行学术指导所发生的费用，原则上应当通过银行转账方式结算。</w:t>
      </w:r>
    </w:p>
    <w:p>
      <w:pPr>
        <w:numPr>
          <w:ilvl w:val="0"/>
          <w:numId w:val="1"/>
        </w:numPr>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劳务费。指项目研究过程中支付给项目组成员的劳务性费用，原则上应当通过银行转账方式结算。</w:t>
      </w:r>
    </w:p>
    <w:p>
      <w:pPr>
        <w:spacing w:line="520" w:lineRule="exact"/>
        <w:ind w:firstLine="602" w:firstLineChars="200"/>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第十七六条</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项目经费不得开支有工资性收入的人员工资、奖金、津补贴和福利支出；不得分摊学校公共管理和运行费用；不得作为其他项目的配套资金；不得用于偿还贷款、支付罚款、捐赠、赞助、投资等支出；也不得用于按照国家规定不得列支的其他支出。</w:t>
      </w:r>
    </w:p>
    <w:p>
      <w:pPr>
        <w:spacing w:line="520" w:lineRule="exact"/>
        <w:ind w:firstLine="602" w:firstLineChars="200"/>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第十七条</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项目的收支情况纳入学校年度决算，统一编报，年度预算年度执行。</w:t>
      </w:r>
    </w:p>
    <w:p>
      <w:pPr>
        <w:spacing w:line="520" w:lineRule="exact"/>
        <w:ind w:firstLine="602" w:firstLineChars="200"/>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第十八条</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项目负责人是项目经费使用管理的直接负责人，对项目实施和资金使用的规范性、合理性、有效性和执行率负责。</w:t>
      </w:r>
    </w:p>
    <w:p>
      <w:pPr>
        <w:spacing w:before="156" w:beforeLines="50" w:line="520" w:lineRule="exact"/>
        <w:jc w:val="center"/>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 xml:space="preserve">第四章 </w:t>
      </w:r>
      <w:r>
        <w:rPr>
          <w:rFonts w:ascii="黑体" w:hAnsi="黑体" w:eastAsia="黑体" w:cs="Times New Roman"/>
          <w:color w:val="000000" w:themeColor="text1"/>
          <w:sz w:val="30"/>
          <w:szCs w:val="30"/>
          <w14:textFill>
            <w14:solidFill>
              <w14:schemeClr w14:val="tx1"/>
            </w14:solidFill>
          </w14:textFill>
        </w:rPr>
        <w:t xml:space="preserve"> </w:t>
      </w:r>
      <w:r>
        <w:rPr>
          <w:rFonts w:hint="eastAsia" w:ascii="黑体" w:hAnsi="黑体" w:eastAsia="黑体" w:cs="Times New Roman"/>
          <w:color w:val="000000" w:themeColor="text1"/>
          <w:sz w:val="30"/>
          <w:szCs w:val="30"/>
          <w14:textFill>
            <w14:solidFill>
              <w14:schemeClr w14:val="tx1"/>
            </w14:solidFill>
          </w14:textFill>
        </w:rPr>
        <w:t>附 则</w:t>
      </w:r>
    </w:p>
    <w:p>
      <w:pPr>
        <w:spacing w:line="520" w:lineRule="exact"/>
        <w:ind w:firstLine="602" w:firstLineChars="200"/>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第十九条</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本细则自公布之日起施行，由研究生院负责解释。</w:t>
      </w:r>
    </w:p>
    <w:p>
      <w:pPr>
        <w:spacing w:line="520" w:lineRule="exact"/>
        <w:rPr>
          <w:rFonts w:ascii="仿宋" w:hAnsi="仿宋" w:eastAsia="仿宋" w:cs="仿宋"/>
          <w:b/>
          <w:bCs/>
          <w:color w:val="000000" w:themeColor="text1"/>
          <w:sz w:val="30"/>
          <w:szCs w:val="30"/>
          <w14:textFill>
            <w14:solidFill>
              <w14:schemeClr w14:val="tx1"/>
            </w14:solidFill>
          </w14:textFill>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3A638"/>
    <w:multiLevelType w:val="singleLevel"/>
    <w:tmpl w:val="9263A6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OWYxYTgxMmZhNzQxZjFjM2U2YzJjODA2ZGIyZTYifQ=="/>
  </w:docVars>
  <w:rsids>
    <w:rsidRoot w:val="00405D13"/>
    <w:rsid w:val="00000EA6"/>
    <w:rsid w:val="000016B8"/>
    <w:rsid w:val="00002D0F"/>
    <w:rsid w:val="00010A8F"/>
    <w:rsid w:val="0001402A"/>
    <w:rsid w:val="00016AFC"/>
    <w:rsid w:val="0003417B"/>
    <w:rsid w:val="00064097"/>
    <w:rsid w:val="00082E8F"/>
    <w:rsid w:val="00095257"/>
    <w:rsid w:val="000A0B6E"/>
    <w:rsid w:val="000C38B7"/>
    <w:rsid w:val="00100A6D"/>
    <w:rsid w:val="001014C6"/>
    <w:rsid w:val="00113C41"/>
    <w:rsid w:val="0011447D"/>
    <w:rsid w:val="00125C1B"/>
    <w:rsid w:val="00126FB6"/>
    <w:rsid w:val="001375E7"/>
    <w:rsid w:val="00140961"/>
    <w:rsid w:val="0016564C"/>
    <w:rsid w:val="0017235B"/>
    <w:rsid w:val="001A72C7"/>
    <w:rsid w:val="001D3098"/>
    <w:rsid w:val="001D6469"/>
    <w:rsid w:val="001D713F"/>
    <w:rsid w:val="001E2A34"/>
    <w:rsid w:val="001F3D3E"/>
    <w:rsid w:val="001F68EB"/>
    <w:rsid w:val="00212D5E"/>
    <w:rsid w:val="002131EC"/>
    <w:rsid w:val="00215A8D"/>
    <w:rsid w:val="00226A4D"/>
    <w:rsid w:val="00234A57"/>
    <w:rsid w:val="00246FE2"/>
    <w:rsid w:val="00252F07"/>
    <w:rsid w:val="0025388B"/>
    <w:rsid w:val="00294D7D"/>
    <w:rsid w:val="002B1695"/>
    <w:rsid w:val="002D0525"/>
    <w:rsid w:val="002D3DDB"/>
    <w:rsid w:val="002D7300"/>
    <w:rsid w:val="002E1307"/>
    <w:rsid w:val="002E2DDF"/>
    <w:rsid w:val="002F3EA2"/>
    <w:rsid w:val="003054AC"/>
    <w:rsid w:val="00322D35"/>
    <w:rsid w:val="00357250"/>
    <w:rsid w:val="0036438A"/>
    <w:rsid w:val="00372550"/>
    <w:rsid w:val="003730E7"/>
    <w:rsid w:val="00397A2A"/>
    <w:rsid w:val="003A209B"/>
    <w:rsid w:val="003A402C"/>
    <w:rsid w:val="003A611B"/>
    <w:rsid w:val="003A7F1B"/>
    <w:rsid w:val="003B1770"/>
    <w:rsid w:val="003B7BDD"/>
    <w:rsid w:val="003D11EE"/>
    <w:rsid w:val="003F61AE"/>
    <w:rsid w:val="003F7D76"/>
    <w:rsid w:val="00405D13"/>
    <w:rsid w:val="0041144F"/>
    <w:rsid w:val="0042584F"/>
    <w:rsid w:val="004406E5"/>
    <w:rsid w:val="00486737"/>
    <w:rsid w:val="0049173A"/>
    <w:rsid w:val="004A3C77"/>
    <w:rsid w:val="004A584C"/>
    <w:rsid w:val="004B13DC"/>
    <w:rsid w:val="004B3429"/>
    <w:rsid w:val="004B5A79"/>
    <w:rsid w:val="004B6486"/>
    <w:rsid w:val="00502232"/>
    <w:rsid w:val="00522FAB"/>
    <w:rsid w:val="0052421F"/>
    <w:rsid w:val="0054468D"/>
    <w:rsid w:val="00546E46"/>
    <w:rsid w:val="005837F4"/>
    <w:rsid w:val="0058518F"/>
    <w:rsid w:val="00585F91"/>
    <w:rsid w:val="005B380D"/>
    <w:rsid w:val="005F6869"/>
    <w:rsid w:val="00623634"/>
    <w:rsid w:val="006241D5"/>
    <w:rsid w:val="00632D47"/>
    <w:rsid w:val="00640BF8"/>
    <w:rsid w:val="00643CFB"/>
    <w:rsid w:val="0064418A"/>
    <w:rsid w:val="00661923"/>
    <w:rsid w:val="00666E6B"/>
    <w:rsid w:val="00683F4A"/>
    <w:rsid w:val="006A5F92"/>
    <w:rsid w:val="006F62B3"/>
    <w:rsid w:val="007020DC"/>
    <w:rsid w:val="00710B7B"/>
    <w:rsid w:val="00714794"/>
    <w:rsid w:val="007167A5"/>
    <w:rsid w:val="00720F40"/>
    <w:rsid w:val="00724CB4"/>
    <w:rsid w:val="00734E57"/>
    <w:rsid w:val="007350D1"/>
    <w:rsid w:val="00740461"/>
    <w:rsid w:val="00744276"/>
    <w:rsid w:val="007449DF"/>
    <w:rsid w:val="00745450"/>
    <w:rsid w:val="00761251"/>
    <w:rsid w:val="00763332"/>
    <w:rsid w:val="00780B57"/>
    <w:rsid w:val="00782E17"/>
    <w:rsid w:val="007A1498"/>
    <w:rsid w:val="007E147D"/>
    <w:rsid w:val="007E4E24"/>
    <w:rsid w:val="007F6584"/>
    <w:rsid w:val="008149A3"/>
    <w:rsid w:val="00826FF8"/>
    <w:rsid w:val="00831980"/>
    <w:rsid w:val="0086175C"/>
    <w:rsid w:val="008874A6"/>
    <w:rsid w:val="008A13CA"/>
    <w:rsid w:val="008A3F75"/>
    <w:rsid w:val="008B553F"/>
    <w:rsid w:val="008E66C8"/>
    <w:rsid w:val="008F5DEA"/>
    <w:rsid w:val="00901EC5"/>
    <w:rsid w:val="00915CA4"/>
    <w:rsid w:val="00917567"/>
    <w:rsid w:val="00950226"/>
    <w:rsid w:val="00950737"/>
    <w:rsid w:val="009828EE"/>
    <w:rsid w:val="00984F06"/>
    <w:rsid w:val="00993092"/>
    <w:rsid w:val="009A41F1"/>
    <w:rsid w:val="009A7062"/>
    <w:rsid w:val="009B2FBE"/>
    <w:rsid w:val="009B443B"/>
    <w:rsid w:val="009C3649"/>
    <w:rsid w:val="009D55ED"/>
    <w:rsid w:val="009E0574"/>
    <w:rsid w:val="009F12F6"/>
    <w:rsid w:val="00A04DE6"/>
    <w:rsid w:val="00A2163D"/>
    <w:rsid w:val="00A31658"/>
    <w:rsid w:val="00A33AE5"/>
    <w:rsid w:val="00A80703"/>
    <w:rsid w:val="00A9040E"/>
    <w:rsid w:val="00AA7D1C"/>
    <w:rsid w:val="00AB3C22"/>
    <w:rsid w:val="00AB647B"/>
    <w:rsid w:val="00AC0EE0"/>
    <w:rsid w:val="00AC5381"/>
    <w:rsid w:val="00AD0A3F"/>
    <w:rsid w:val="00AD3D8C"/>
    <w:rsid w:val="00AD7711"/>
    <w:rsid w:val="00AF11DF"/>
    <w:rsid w:val="00B0081B"/>
    <w:rsid w:val="00B21C6B"/>
    <w:rsid w:val="00B250DB"/>
    <w:rsid w:val="00B50F98"/>
    <w:rsid w:val="00B54003"/>
    <w:rsid w:val="00B6021E"/>
    <w:rsid w:val="00B61C7E"/>
    <w:rsid w:val="00B64876"/>
    <w:rsid w:val="00B74953"/>
    <w:rsid w:val="00B83046"/>
    <w:rsid w:val="00BC05F5"/>
    <w:rsid w:val="00BE00DC"/>
    <w:rsid w:val="00C01DF7"/>
    <w:rsid w:val="00C01EA5"/>
    <w:rsid w:val="00C053CB"/>
    <w:rsid w:val="00C17EA5"/>
    <w:rsid w:val="00C21E87"/>
    <w:rsid w:val="00C237E9"/>
    <w:rsid w:val="00C249DD"/>
    <w:rsid w:val="00C3141D"/>
    <w:rsid w:val="00C319D7"/>
    <w:rsid w:val="00C53429"/>
    <w:rsid w:val="00C5482E"/>
    <w:rsid w:val="00C60370"/>
    <w:rsid w:val="00C60AFC"/>
    <w:rsid w:val="00C72276"/>
    <w:rsid w:val="00C75104"/>
    <w:rsid w:val="00C8121A"/>
    <w:rsid w:val="00C92CEF"/>
    <w:rsid w:val="00C94E50"/>
    <w:rsid w:val="00CA7E7B"/>
    <w:rsid w:val="00CC5A8D"/>
    <w:rsid w:val="00CC7A80"/>
    <w:rsid w:val="00CD4BE9"/>
    <w:rsid w:val="00CD59D0"/>
    <w:rsid w:val="00CF6045"/>
    <w:rsid w:val="00D01312"/>
    <w:rsid w:val="00D23C16"/>
    <w:rsid w:val="00D34CDC"/>
    <w:rsid w:val="00D34F36"/>
    <w:rsid w:val="00D43CFF"/>
    <w:rsid w:val="00D8133B"/>
    <w:rsid w:val="00D92EC2"/>
    <w:rsid w:val="00D96C22"/>
    <w:rsid w:val="00DA29F4"/>
    <w:rsid w:val="00DA64A8"/>
    <w:rsid w:val="00DB3314"/>
    <w:rsid w:val="00DD607F"/>
    <w:rsid w:val="00E04C39"/>
    <w:rsid w:val="00E3069C"/>
    <w:rsid w:val="00E42D3D"/>
    <w:rsid w:val="00E46C2D"/>
    <w:rsid w:val="00E72575"/>
    <w:rsid w:val="00E773BC"/>
    <w:rsid w:val="00EA264E"/>
    <w:rsid w:val="00EA3357"/>
    <w:rsid w:val="00EB090B"/>
    <w:rsid w:val="00EC39C2"/>
    <w:rsid w:val="00EE25B5"/>
    <w:rsid w:val="00EF4D10"/>
    <w:rsid w:val="00EF58D2"/>
    <w:rsid w:val="00F05477"/>
    <w:rsid w:val="00F25C14"/>
    <w:rsid w:val="00F27174"/>
    <w:rsid w:val="00F30CEB"/>
    <w:rsid w:val="00F453C1"/>
    <w:rsid w:val="00F55550"/>
    <w:rsid w:val="00F6035A"/>
    <w:rsid w:val="00F95628"/>
    <w:rsid w:val="00FA51B8"/>
    <w:rsid w:val="00FB1EF4"/>
    <w:rsid w:val="00FD2769"/>
    <w:rsid w:val="00FE76A9"/>
    <w:rsid w:val="02045C83"/>
    <w:rsid w:val="020F614D"/>
    <w:rsid w:val="021648D9"/>
    <w:rsid w:val="02453AB2"/>
    <w:rsid w:val="028C68E8"/>
    <w:rsid w:val="02D77510"/>
    <w:rsid w:val="03422AD9"/>
    <w:rsid w:val="03536B46"/>
    <w:rsid w:val="037617D2"/>
    <w:rsid w:val="03EA20FB"/>
    <w:rsid w:val="03F33C68"/>
    <w:rsid w:val="04155199"/>
    <w:rsid w:val="04214B72"/>
    <w:rsid w:val="04236863"/>
    <w:rsid w:val="042565C8"/>
    <w:rsid w:val="042D444A"/>
    <w:rsid w:val="043B0FD7"/>
    <w:rsid w:val="045A442E"/>
    <w:rsid w:val="04861949"/>
    <w:rsid w:val="04A36338"/>
    <w:rsid w:val="04A62357"/>
    <w:rsid w:val="04E940B0"/>
    <w:rsid w:val="059A1AE3"/>
    <w:rsid w:val="059F7166"/>
    <w:rsid w:val="05E11383"/>
    <w:rsid w:val="066263CE"/>
    <w:rsid w:val="07073B60"/>
    <w:rsid w:val="074F05AB"/>
    <w:rsid w:val="075C40D5"/>
    <w:rsid w:val="075D4083"/>
    <w:rsid w:val="075D7D81"/>
    <w:rsid w:val="076A7871"/>
    <w:rsid w:val="0788595C"/>
    <w:rsid w:val="07C04745"/>
    <w:rsid w:val="07C42EC1"/>
    <w:rsid w:val="0831668F"/>
    <w:rsid w:val="08586A19"/>
    <w:rsid w:val="085D772B"/>
    <w:rsid w:val="086273A0"/>
    <w:rsid w:val="08651EBD"/>
    <w:rsid w:val="087E0492"/>
    <w:rsid w:val="08AE51A0"/>
    <w:rsid w:val="08BC6C53"/>
    <w:rsid w:val="08D262FD"/>
    <w:rsid w:val="08D867A0"/>
    <w:rsid w:val="08D96979"/>
    <w:rsid w:val="09456B20"/>
    <w:rsid w:val="096D6AF0"/>
    <w:rsid w:val="09877B2E"/>
    <w:rsid w:val="098E15DE"/>
    <w:rsid w:val="09A30114"/>
    <w:rsid w:val="0A2D0737"/>
    <w:rsid w:val="0A854E10"/>
    <w:rsid w:val="0AB35AA3"/>
    <w:rsid w:val="0ADC38C4"/>
    <w:rsid w:val="0B057249"/>
    <w:rsid w:val="0B397E43"/>
    <w:rsid w:val="0B6555E2"/>
    <w:rsid w:val="0BB35DE5"/>
    <w:rsid w:val="0C3400D7"/>
    <w:rsid w:val="0C5A7753"/>
    <w:rsid w:val="0C7E4B53"/>
    <w:rsid w:val="0C8C7DE8"/>
    <w:rsid w:val="0CA723B2"/>
    <w:rsid w:val="0CE23677"/>
    <w:rsid w:val="0D69619E"/>
    <w:rsid w:val="0DA164A5"/>
    <w:rsid w:val="0DAD2A63"/>
    <w:rsid w:val="0DF53748"/>
    <w:rsid w:val="0DFA28D3"/>
    <w:rsid w:val="0E4E33A5"/>
    <w:rsid w:val="0E646E31"/>
    <w:rsid w:val="0E7D1B19"/>
    <w:rsid w:val="0EAB640D"/>
    <w:rsid w:val="0ED20DFA"/>
    <w:rsid w:val="0EEC5F03"/>
    <w:rsid w:val="0EF03F27"/>
    <w:rsid w:val="0EF1027E"/>
    <w:rsid w:val="0F611EDB"/>
    <w:rsid w:val="0FEF4A98"/>
    <w:rsid w:val="0FF97AD1"/>
    <w:rsid w:val="10246674"/>
    <w:rsid w:val="10295C46"/>
    <w:rsid w:val="10D23843"/>
    <w:rsid w:val="111B434C"/>
    <w:rsid w:val="111C067D"/>
    <w:rsid w:val="11510558"/>
    <w:rsid w:val="11560B22"/>
    <w:rsid w:val="11A617CD"/>
    <w:rsid w:val="11F13369"/>
    <w:rsid w:val="123B10D5"/>
    <w:rsid w:val="12792B77"/>
    <w:rsid w:val="12BB6D1E"/>
    <w:rsid w:val="12C97945"/>
    <w:rsid w:val="12D679A7"/>
    <w:rsid w:val="12E62822"/>
    <w:rsid w:val="12EA0B01"/>
    <w:rsid w:val="130534C1"/>
    <w:rsid w:val="13075326"/>
    <w:rsid w:val="13330BC7"/>
    <w:rsid w:val="13492F38"/>
    <w:rsid w:val="13937D4C"/>
    <w:rsid w:val="13BD568C"/>
    <w:rsid w:val="13E03789"/>
    <w:rsid w:val="13F17155"/>
    <w:rsid w:val="142818C8"/>
    <w:rsid w:val="14443B25"/>
    <w:rsid w:val="14802431"/>
    <w:rsid w:val="14D46921"/>
    <w:rsid w:val="14D75BBC"/>
    <w:rsid w:val="14EE2A34"/>
    <w:rsid w:val="14FD442C"/>
    <w:rsid w:val="153D685C"/>
    <w:rsid w:val="162660DA"/>
    <w:rsid w:val="16344B80"/>
    <w:rsid w:val="163D7AD2"/>
    <w:rsid w:val="16D3103C"/>
    <w:rsid w:val="17225FE6"/>
    <w:rsid w:val="175A3D2C"/>
    <w:rsid w:val="183870CE"/>
    <w:rsid w:val="183E0AE0"/>
    <w:rsid w:val="188A3311"/>
    <w:rsid w:val="189756D0"/>
    <w:rsid w:val="189A4264"/>
    <w:rsid w:val="18FA3704"/>
    <w:rsid w:val="18FE410A"/>
    <w:rsid w:val="18FF2653"/>
    <w:rsid w:val="195F4238"/>
    <w:rsid w:val="199B3A2A"/>
    <w:rsid w:val="19AF4ED7"/>
    <w:rsid w:val="19C77C3F"/>
    <w:rsid w:val="19DF079E"/>
    <w:rsid w:val="19FD6C88"/>
    <w:rsid w:val="19FE7516"/>
    <w:rsid w:val="1A4B04C7"/>
    <w:rsid w:val="1A5271E3"/>
    <w:rsid w:val="1AE15974"/>
    <w:rsid w:val="1AF274DD"/>
    <w:rsid w:val="1B0604AD"/>
    <w:rsid w:val="1B224B3F"/>
    <w:rsid w:val="1B2C7AA5"/>
    <w:rsid w:val="1B333EEE"/>
    <w:rsid w:val="1B342105"/>
    <w:rsid w:val="1B7E5AF3"/>
    <w:rsid w:val="1BB31517"/>
    <w:rsid w:val="1BD17AB9"/>
    <w:rsid w:val="1C491BE6"/>
    <w:rsid w:val="1CFB0A18"/>
    <w:rsid w:val="1D0B6F43"/>
    <w:rsid w:val="1D314429"/>
    <w:rsid w:val="1D4C5C05"/>
    <w:rsid w:val="1D5F7783"/>
    <w:rsid w:val="1D8350DC"/>
    <w:rsid w:val="1DA01E92"/>
    <w:rsid w:val="1E2768A7"/>
    <w:rsid w:val="1E321425"/>
    <w:rsid w:val="1E664825"/>
    <w:rsid w:val="1E861030"/>
    <w:rsid w:val="1EB74761"/>
    <w:rsid w:val="1EF85DFD"/>
    <w:rsid w:val="1F127949"/>
    <w:rsid w:val="1F742134"/>
    <w:rsid w:val="1F7647AE"/>
    <w:rsid w:val="1FB51C51"/>
    <w:rsid w:val="1FF433E8"/>
    <w:rsid w:val="20026554"/>
    <w:rsid w:val="202614AD"/>
    <w:rsid w:val="2082389D"/>
    <w:rsid w:val="209E4FDB"/>
    <w:rsid w:val="20A60957"/>
    <w:rsid w:val="20E17182"/>
    <w:rsid w:val="20FC2243"/>
    <w:rsid w:val="227617EE"/>
    <w:rsid w:val="22EF7CFD"/>
    <w:rsid w:val="22FB4709"/>
    <w:rsid w:val="22FF793F"/>
    <w:rsid w:val="231D139B"/>
    <w:rsid w:val="23420791"/>
    <w:rsid w:val="23585CAD"/>
    <w:rsid w:val="235A42AD"/>
    <w:rsid w:val="23A863CB"/>
    <w:rsid w:val="23BB7C4C"/>
    <w:rsid w:val="240A1436"/>
    <w:rsid w:val="24355486"/>
    <w:rsid w:val="2454354C"/>
    <w:rsid w:val="245E1CE7"/>
    <w:rsid w:val="24BC11CD"/>
    <w:rsid w:val="24CF545F"/>
    <w:rsid w:val="25331B44"/>
    <w:rsid w:val="253741F3"/>
    <w:rsid w:val="2542651B"/>
    <w:rsid w:val="255573B1"/>
    <w:rsid w:val="25734887"/>
    <w:rsid w:val="25862CAC"/>
    <w:rsid w:val="26124824"/>
    <w:rsid w:val="26180209"/>
    <w:rsid w:val="26367F98"/>
    <w:rsid w:val="26412E2D"/>
    <w:rsid w:val="26D268CC"/>
    <w:rsid w:val="26EB2811"/>
    <w:rsid w:val="272642E9"/>
    <w:rsid w:val="27277341"/>
    <w:rsid w:val="27422949"/>
    <w:rsid w:val="27746A99"/>
    <w:rsid w:val="27CC20E7"/>
    <w:rsid w:val="281B0E09"/>
    <w:rsid w:val="282B1B18"/>
    <w:rsid w:val="2848117E"/>
    <w:rsid w:val="286A38BA"/>
    <w:rsid w:val="28B431FA"/>
    <w:rsid w:val="29160E75"/>
    <w:rsid w:val="2982058F"/>
    <w:rsid w:val="29A5303D"/>
    <w:rsid w:val="29C1730C"/>
    <w:rsid w:val="2A83418C"/>
    <w:rsid w:val="2A9F0F71"/>
    <w:rsid w:val="2AF94FFD"/>
    <w:rsid w:val="2AFD1EE4"/>
    <w:rsid w:val="2B5621DF"/>
    <w:rsid w:val="2B9433E2"/>
    <w:rsid w:val="2B991F83"/>
    <w:rsid w:val="2BAF6DED"/>
    <w:rsid w:val="2C186EA9"/>
    <w:rsid w:val="2C7B1A03"/>
    <w:rsid w:val="2D385058"/>
    <w:rsid w:val="2D3E2AC7"/>
    <w:rsid w:val="2D486920"/>
    <w:rsid w:val="2D522A54"/>
    <w:rsid w:val="2D77207E"/>
    <w:rsid w:val="2DA9596E"/>
    <w:rsid w:val="2DC20919"/>
    <w:rsid w:val="2DC862FD"/>
    <w:rsid w:val="2DF9034C"/>
    <w:rsid w:val="2E250A2B"/>
    <w:rsid w:val="2E3A105D"/>
    <w:rsid w:val="2EBC3943"/>
    <w:rsid w:val="2EBD5DA2"/>
    <w:rsid w:val="2EC9014E"/>
    <w:rsid w:val="2ED55AFE"/>
    <w:rsid w:val="2EFD1227"/>
    <w:rsid w:val="2F180714"/>
    <w:rsid w:val="2F3A0B8F"/>
    <w:rsid w:val="2F6071C5"/>
    <w:rsid w:val="2F8A7815"/>
    <w:rsid w:val="2FB01A4B"/>
    <w:rsid w:val="2FB52474"/>
    <w:rsid w:val="2FBB14E3"/>
    <w:rsid w:val="2FD46974"/>
    <w:rsid w:val="2FE276DE"/>
    <w:rsid w:val="30240630"/>
    <w:rsid w:val="30293C73"/>
    <w:rsid w:val="30383026"/>
    <w:rsid w:val="30532872"/>
    <w:rsid w:val="30556619"/>
    <w:rsid w:val="30663A07"/>
    <w:rsid w:val="306F06BA"/>
    <w:rsid w:val="31231398"/>
    <w:rsid w:val="314E6D4C"/>
    <w:rsid w:val="316D2E91"/>
    <w:rsid w:val="317C7D0A"/>
    <w:rsid w:val="31A91877"/>
    <w:rsid w:val="32303E46"/>
    <w:rsid w:val="329A3FF2"/>
    <w:rsid w:val="32AD5F59"/>
    <w:rsid w:val="32EB3B6C"/>
    <w:rsid w:val="32F10A41"/>
    <w:rsid w:val="33336252"/>
    <w:rsid w:val="336A3491"/>
    <w:rsid w:val="33CB042D"/>
    <w:rsid w:val="33E372B3"/>
    <w:rsid w:val="33E4392D"/>
    <w:rsid w:val="341B1F4B"/>
    <w:rsid w:val="34216C50"/>
    <w:rsid w:val="34372A56"/>
    <w:rsid w:val="34AD0790"/>
    <w:rsid w:val="355A19B6"/>
    <w:rsid w:val="359314DB"/>
    <w:rsid w:val="35D63097"/>
    <w:rsid w:val="368B3BCA"/>
    <w:rsid w:val="372C4CCF"/>
    <w:rsid w:val="3762242F"/>
    <w:rsid w:val="37851E31"/>
    <w:rsid w:val="37A64323"/>
    <w:rsid w:val="37BD27F3"/>
    <w:rsid w:val="37E7220D"/>
    <w:rsid w:val="37EB2511"/>
    <w:rsid w:val="37FA5FD7"/>
    <w:rsid w:val="382775E8"/>
    <w:rsid w:val="38303B16"/>
    <w:rsid w:val="384034EA"/>
    <w:rsid w:val="38676099"/>
    <w:rsid w:val="386C5553"/>
    <w:rsid w:val="38C0709A"/>
    <w:rsid w:val="39000E1F"/>
    <w:rsid w:val="39071070"/>
    <w:rsid w:val="39602691"/>
    <w:rsid w:val="39E13585"/>
    <w:rsid w:val="3A4B0D87"/>
    <w:rsid w:val="3A643FE8"/>
    <w:rsid w:val="3A86768A"/>
    <w:rsid w:val="3A9964A7"/>
    <w:rsid w:val="3AD30669"/>
    <w:rsid w:val="3AE834E6"/>
    <w:rsid w:val="3B18016C"/>
    <w:rsid w:val="3B405E3B"/>
    <w:rsid w:val="3B465CC4"/>
    <w:rsid w:val="3B5E553E"/>
    <w:rsid w:val="3B886B6E"/>
    <w:rsid w:val="3B933138"/>
    <w:rsid w:val="3BC11922"/>
    <w:rsid w:val="3C304546"/>
    <w:rsid w:val="3C67230F"/>
    <w:rsid w:val="3CCA710D"/>
    <w:rsid w:val="3CE67671"/>
    <w:rsid w:val="3D3B4425"/>
    <w:rsid w:val="3D4C0FA8"/>
    <w:rsid w:val="3D8764C5"/>
    <w:rsid w:val="3D8874A1"/>
    <w:rsid w:val="3DA6506C"/>
    <w:rsid w:val="3DC74176"/>
    <w:rsid w:val="3E5D4AE9"/>
    <w:rsid w:val="3E7E52A7"/>
    <w:rsid w:val="3EA443DA"/>
    <w:rsid w:val="3EE10016"/>
    <w:rsid w:val="3EFD5CF2"/>
    <w:rsid w:val="3F171088"/>
    <w:rsid w:val="3F703DCF"/>
    <w:rsid w:val="3F7D08D7"/>
    <w:rsid w:val="3F9E47E2"/>
    <w:rsid w:val="402A03C4"/>
    <w:rsid w:val="407B7D9B"/>
    <w:rsid w:val="40A4066C"/>
    <w:rsid w:val="40AF16B0"/>
    <w:rsid w:val="417E2877"/>
    <w:rsid w:val="41B6721B"/>
    <w:rsid w:val="41D71749"/>
    <w:rsid w:val="41F134D8"/>
    <w:rsid w:val="41FB5868"/>
    <w:rsid w:val="421158E7"/>
    <w:rsid w:val="4240460C"/>
    <w:rsid w:val="4258068B"/>
    <w:rsid w:val="42734A2F"/>
    <w:rsid w:val="42CB14D9"/>
    <w:rsid w:val="42CD5DA0"/>
    <w:rsid w:val="42EF4713"/>
    <w:rsid w:val="433F6CA9"/>
    <w:rsid w:val="4367363B"/>
    <w:rsid w:val="436A78C2"/>
    <w:rsid w:val="436E4672"/>
    <w:rsid w:val="439373C1"/>
    <w:rsid w:val="43C5520E"/>
    <w:rsid w:val="43C565E3"/>
    <w:rsid w:val="44492D23"/>
    <w:rsid w:val="445619F8"/>
    <w:rsid w:val="44A7448B"/>
    <w:rsid w:val="44C554BB"/>
    <w:rsid w:val="45637B52"/>
    <w:rsid w:val="457D2FCD"/>
    <w:rsid w:val="459B5E4C"/>
    <w:rsid w:val="45B75334"/>
    <w:rsid w:val="460C5E7C"/>
    <w:rsid w:val="46174DCF"/>
    <w:rsid w:val="463F377F"/>
    <w:rsid w:val="467C3463"/>
    <w:rsid w:val="46945787"/>
    <w:rsid w:val="46953D45"/>
    <w:rsid w:val="46BD21D4"/>
    <w:rsid w:val="47374F07"/>
    <w:rsid w:val="473E7072"/>
    <w:rsid w:val="477C0B7F"/>
    <w:rsid w:val="478B1A47"/>
    <w:rsid w:val="47931D82"/>
    <w:rsid w:val="479511F9"/>
    <w:rsid w:val="47E32A9D"/>
    <w:rsid w:val="47F03C19"/>
    <w:rsid w:val="481A5ED8"/>
    <w:rsid w:val="481E6364"/>
    <w:rsid w:val="48224F9A"/>
    <w:rsid w:val="482D1FF9"/>
    <w:rsid w:val="483909A3"/>
    <w:rsid w:val="48531B8E"/>
    <w:rsid w:val="48730310"/>
    <w:rsid w:val="48854F36"/>
    <w:rsid w:val="48861DB9"/>
    <w:rsid w:val="490B61F0"/>
    <w:rsid w:val="49351E4B"/>
    <w:rsid w:val="493E3A5F"/>
    <w:rsid w:val="494E2B30"/>
    <w:rsid w:val="49956FE4"/>
    <w:rsid w:val="49C01E7C"/>
    <w:rsid w:val="49C34C89"/>
    <w:rsid w:val="49E8197D"/>
    <w:rsid w:val="4A174ED1"/>
    <w:rsid w:val="4A24391D"/>
    <w:rsid w:val="4A3E744C"/>
    <w:rsid w:val="4A806828"/>
    <w:rsid w:val="4ADB6BD2"/>
    <w:rsid w:val="4AFC4FB3"/>
    <w:rsid w:val="4B2B776B"/>
    <w:rsid w:val="4B9C40DE"/>
    <w:rsid w:val="4C0126CA"/>
    <w:rsid w:val="4C0F30A8"/>
    <w:rsid w:val="4C3F334E"/>
    <w:rsid w:val="4C9453E4"/>
    <w:rsid w:val="4CBD6CE5"/>
    <w:rsid w:val="4CC048B3"/>
    <w:rsid w:val="4D6337DE"/>
    <w:rsid w:val="4DD51A23"/>
    <w:rsid w:val="4E020D28"/>
    <w:rsid w:val="4E1601EF"/>
    <w:rsid w:val="4E5C0776"/>
    <w:rsid w:val="4E5F75A1"/>
    <w:rsid w:val="4E6955BF"/>
    <w:rsid w:val="4E882CCF"/>
    <w:rsid w:val="4EA24E3A"/>
    <w:rsid w:val="4EB27170"/>
    <w:rsid w:val="4F1D35C0"/>
    <w:rsid w:val="4F3418E7"/>
    <w:rsid w:val="4F9555FB"/>
    <w:rsid w:val="4FD863C3"/>
    <w:rsid w:val="50031C9A"/>
    <w:rsid w:val="508478C9"/>
    <w:rsid w:val="50913BA2"/>
    <w:rsid w:val="5092371F"/>
    <w:rsid w:val="50E72E7F"/>
    <w:rsid w:val="5123240B"/>
    <w:rsid w:val="5126314C"/>
    <w:rsid w:val="516E7842"/>
    <w:rsid w:val="51A70FFC"/>
    <w:rsid w:val="51AB5D1E"/>
    <w:rsid w:val="51FD55E9"/>
    <w:rsid w:val="51FE471F"/>
    <w:rsid w:val="52590097"/>
    <w:rsid w:val="525979B3"/>
    <w:rsid w:val="52AD1D19"/>
    <w:rsid w:val="532C42FD"/>
    <w:rsid w:val="53A3762A"/>
    <w:rsid w:val="540E5770"/>
    <w:rsid w:val="541104F0"/>
    <w:rsid w:val="549A5F05"/>
    <w:rsid w:val="54D10D6B"/>
    <w:rsid w:val="54EA7974"/>
    <w:rsid w:val="55A53CA7"/>
    <w:rsid w:val="55D87688"/>
    <w:rsid w:val="55F83A20"/>
    <w:rsid w:val="563F7DBD"/>
    <w:rsid w:val="56824016"/>
    <w:rsid w:val="56A271E2"/>
    <w:rsid w:val="56A31B32"/>
    <w:rsid w:val="56A7759F"/>
    <w:rsid w:val="572A05B7"/>
    <w:rsid w:val="57843307"/>
    <w:rsid w:val="57F81503"/>
    <w:rsid w:val="58997678"/>
    <w:rsid w:val="58A33C38"/>
    <w:rsid w:val="59696625"/>
    <w:rsid w:val="5A306C20"/>
    <w:rsid w:val="5A38219C"/>
    <w:rsid w:val="5A584034"/>
    <w:rsid w:val="5A8F6607"/>
    <w:rsid w:val="5A9F2CF3"/>
    <w:rsid w:val="5B2540F5"/>
    <w:rsid w:val="5B945FF5"/>
    <w:rsid w:val="5B9D0352"/>
    <w:rsid w:val="5BA41AED"/>
    <w:rsid w:val="5BBB1D12"/>
    <w:rsid w:val="5BCB76A4"/>
    <w:rsid w:val="5C0075E0"/>
    <w:rsid w:val="5C1004F8"/>
    <w:rsid w:val="5C2F68AE"/>
    <w:rsid w:val="5C862331"/>
    <w:rsid w:val="5CAC2508"/>
    <w:rsid w:val="5CBC388D"/>
    <w:rsid w:val="5CDF7AA1"/>
    <w:rsid w:val="5CF12C47"/>
    <w:rsid w:val="5D255E49"/>
    <w:rsid w:val="5D9B6E97"/>
    <w:rsid w:val="5DAF116F"/>
    <w:rsid w:val="5DBB3D1F"/>
    <w:rsid w:val="5DD51B4D"/>
    <w:rsid w:val="5E4D70F6"/>
    <w:rsid w:val="5E612761"/>
    <w:rsid w:val="5EB319B9"/>
    <w:rsid w:val="5EC0280B"/>
    <w:rsid w:val="5F3355D6"/>
    <w:rsid w:val="5F3E04AC"/>
    <w:rsid w:val="5F5229F0"/>
    <w:rsid w:val="5FB90545"/>
    <w:rsid w:val="5FCC35D6"/>
    <w:rsid w:val="602018E7"/>
    <w:rsid w:val="60741D54"/>
    <w:rsid w:val="60BC622B"/>
    <w:rsid w:val="61104B13"/>
    <w:rsid w:val="61423D2A"/>
    <w:rsid w:val="61797586"/>
    <w:rsid w:val="61B27ABE"/>
    <w:rsid w:val="61BD6A21"/>
    <w:rsid w:val="61F27439"/>
    <w:rsid w:val="62072E71"/>
    <w:rsid w:val="622562E1"/>
    <w:rsid w:val="62732A7C"/>
    <w:rsid w:val="631E7D3A"/>
    <w:rsid w:val="634B35F3"/>
    <w:rsid w:val="63695261"/>
    <w:rsid w:val="63931496"/>
    <w:rsid w:val="64A63A5B"/>
    <w:rsid w:val="64A83A0B"/>
    <w:rsid w:val="64B3718F"/>
    <w:rsid w:val="64B820FE"/>
    <w:rsid w:val="64FD63BF"/>
    <w:rsid w:val="655F527D"/>
    <w:rsid w:val="65F267FF"/>
    <w:rsid w:val="65F43A9B"/>
    <w:rsid w:val="66080164"/>
    <w:rsid w:val="6624222C"/>
    <w:rsid w:val="66461D8A"/>
    <w:rsid w:val="66692498"/>
    <w:rsid w:val="66742E69"/>
    <w:rsid w:val="66821E21"/>
    <w:rsid w:val="66B56078"/>
    <w:rsid w:val="672D2B14"/>
    <w:rsid w:val="67463C69"/>
    <w:rsid w:val="675D02B4"/>
    <w:rsid w:val="67954301"/>
    <w:rsid w:val="67CC7EFD"/>
    <w:rsid w:val="68084D6C"/>
    <w:rsid w:val="681B62C5"/>
    <w:rsid w:val="68326BDD"/>
    <w:rsid w:val="687848FC"/>
    <w:rsid w:val="68B12B3D"/>
    <w:rsid w:val="68C05EB6"/>
    <w:rsid w:val="68DE6265"/>
    <w:rsid w:val="691E5EEA"/>
    <w:rsid w:val="69501BC1"/>
    <w:rsid w:val="696D1E87"/>
    <w:rsid w:val="69713CF9"/>
    <w:rsid w:val="69E23A9C"/>
    <w:rsid w:val="6A1F1859"/>
    <w:rsid w:val="6AB04AFB"/>
    <w:rsid w:val="6ACD3329"/>
    <w:rsid w:val="6B594B8B"/>
    <w:rsid w:val="6B777273"/>
    <w:rsid w:val="6BE6795E"/>
    <w:rsid w:val="6BED4259"/>
    <w:rsid w:val="6BEF2D60"/>
    <w:rsid w:val="6BF5058E"/>
    <w:rsid w:val="6C372BA9"/>
    <w:rsid w:val="6C387F49"/>
    <w:rsid w:val="6CBA3446"/>
    <w:rsid w:val="6CCC5DB9"/>
    <w:rsid w:val="6D0404B1"/>
    <w:rsid w:val="6D5147A9"/>
    <w:rsid w:val="6D7B02E8"/>
    <w:rsid w:val="6DC35C2F"/>
    <w:rsid w:val="6DDE297F"/>
    <w:rsid w:val="6E9D62B4"/>
    <w:rsid w:val="6EB83516"/>
    <w:rsid w:val="6ECC56E3"/>
    <w:rsid w:val="6F2D284D"/>
    <w:rsid w:val="6F351517"/>
    <w:rsid w:val="6F7065F7"/>
    <w:rsid w:val="6FF57998"/>
    <w:rsid w:val="70E274F1"/>
    <w:rsid w:val="71074733"/>
    <w:rsid w:val="71300EBB"/>
    <w:rsid w:val="714F74CC"/>
    <w:rsid w:val="717A2520"/>
    <w:rsid w:val="718B4270"/>
    <w:rsid w:val="71D3565B"/>
    <w:rsid w:val="7223285B"/>
    <w:rsid w:val="726849EF"/>
    <w:rsid w:val="729C0F84"/>
    <w:rsid w:val="72B63EF5"/>
    <w:rsid w:val="72F6669B"/>
    <w:rsid w:val="72FD76E5"/>
    <w:rsid w:val="73457120"/>
    <w:rsid w:val="73523F3F"/>
    <w:rsid w:val="73CE0E87"/>
    <w:rsid w:val="73D9710D"/>
    <w:rsid w:val="744C1DBC"/>
    <w:rsid w:val="744E4BAD"/>
    <w:rsid w:val="74667B73"/>
    <w:rsid w:val="74DE2218"/>
    <w:rsid w:val="751A293F"/>
    <w:rsid w:val="75331606"/>
    <w:rsid w:val="75AF1FA2"/>
    <w:rsid w:val="75D47B5E"/>
    <w:rsid w:val="75E04B51"/>
    <w:rsid w:val="75E34FF9"/>
    <w:rsid w:val="75F0441E"/>
    <w:rsid w:val="75FD0BC6"/>
    <w:rsid w:val="7605306F"/>
    <w:rsid w:val="76271973"/>
    <w:rsid w:val="7628736D"/>
    <w:rsid w:val="762D6457"/>
    <w:rsid w:val="76A66BCE"/>
    <w:rsid w:val="76E12437"/>
    <w:rsid w:val="76E70D2E"/>
    <w:rsid w:val="76FD2B3C"/>
    <w:rsid w:val="77154CC5"/>
    <w:rsid w:val="77273EDC"/>
    <w:rsid w:val="773840F0"/>
    <w:rsid w:val="774129A6"/>
    <w:rsid w:val="77614327"/>
    <w:rsid w:val="77F332D3"/>
    <w:rsid w:val="78416330"/>
    <w:rsid w:val="786A5414"/>
    <w:rsid w:val="78B86384"/>
    <w:rsid w:val="79050880"/>
    <w:rsid w:val="79124E39"/>
    <w:rsid w:val="791C39C8"/>
    <w:rsid w:val="79537446"/>
    <w:rsid w:val="795934A7"/>
    <w:rsid w:val="7A277C1E"/>
    <w:rsid w:val="7AAA218C"/>
    <w:rsid w:val="7B002361"/>
    <w:rsid w:val="7B423CB7"/>
    <w:rsid w:val="7B5B4975"/>
    <w:rsid w:val="7B9F0673"/>
    <w:rsid w:val="7BC636C4"/>
    <w:rsid w:val="7C04200C"/>
    <w:rsid w:val="7C7A32C5"/>
    <w:rsid w:val="7CFE2C0C"/>
    <w:rsid w:val="7D4B4393"/>
    <w:rsid w:val="7D4D206C"/>
    <w:rsid w:val="7D901942"/>
    <w:rsid w:val="7D9518FE"/>
    <w:rsid w:val="7DA25B3D"/>
    <w:rsid w:val="7DA77023"/>
    <w:rsid w:val="7DEF3471"/>
    <w:rsid w:val="7DFA479F"/>
    <w:rsid w:val="7DFD479F"/>
    <w:rsid w:val="7E0B71E2"/>
    <w:rsid w:val="7E9D0843"/>
    <w:rsid w:val="7EF7119B"/>
    <w:rsid w:val="7EF92D42"/>
    <w:rsid w:val="7F166993"/>
    <w:rsid w:val="7F85097F"/>
    <w:rsid w:val="7FDD0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rFonts w:asciiTheme="minorHAnsi" w:hAnsiTheme="minorHAnsi" w:eastAsiaTheme="minorEastAsia" w:cstheme="minorBidi"/>
      <w:kern w:val="2"/>
      <w:sz w:val="18"/>
      <w:szCs w:val="18"/>
    </w:r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270618-8F47-4D9B-9350-947C4E592CCC}">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4</Pages>
  <Words>1846</Words>
  <Characters>1849</Characters>
  <Lines>14</Lines>
  <Paragraphs>4</Paragraphs>
  <TotalTime>0</TotalTime>
  <ScaleCrop>false</ScaleCrop>
  <LinksUpToDate>false</LinksUpToDate>
  <CharactersWithSpaces>1897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2023-04-26T02:24:43Z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DE9AA25C1C8146D4BD6DA9AA4F9FA07A_13</vt:lpwstr>
  </property>
</Properties>
</file>